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宋体"/>
          <w:b w:val="0"/>
          <w:bCs/>
          <w:color w:val="000000"/>
          <w:kern w:val="0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Cs w:val="32"/>
          <w:lang w:val="en-US" w:eastAsia="zh-CN"/>
        </w:rPr>
        <w:t>附件1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湖南信息学院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课程思政教学竞赛赛事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说明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bCs/>
          <w:color w:val="000000"/>
          <w:kern w:val="0"/>
          <w:szCs w:val="32"/>
        </w:rPr>
      </w:pP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" w:hAnsi="仿宋" w:eastAsia="仿宋" w:cs="宋体"/>
          <w:b/>
          <w:bCs w:val="0"/>
          <w:color w:val="000000"/>
          <w:kern w:val="0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color w:val="000000"/>
          <w:kern w:val="0"/>
          <w:szCs w:val="32"/>
        </w:rPr>
        <w:t>一、复赛</w:t>
      </w:r>
      <w:r>
        <w:rPr>
          <w:rFonts w:hint="eastAsia" w:ascii="仿宋" w:hAnsi="仿宋" w:eastAsia="仿宋" w:cs="宋体"/>
          <w:b/>
          <w:bCs w:val="0"/>
          <w:color w:val="000000"/>
          <w:kern w:val="0"/>
          <w:szCs w:val="32"/>
          <w:lang w:val="en-US" w:eastAsia="zh-CN"/>
        </w:rPr>
        <w:t>参赛要求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Cs/>
          <w:color w:val="000000"/>
          <w:kern w:val="0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1.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各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二级学院应在完成初赛的基础上提交初赛工作总结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（须包含</w:t>
      </w:r>
      <w:r>
        <w:rPr>
          <w:rFonts w:ascii="仿宋" w:hAnsi="仿宋" w:eastAsia="仿宋" w:cs="宋体"/>
          <w:bCs/>
          <w:color w:val="000000"/>
          <w:kern w:val="0"/>
          <w:szCs w:val="32"/>
          <w:lang w:val="en-US" w:eastAsia="zh-CN"/>
        </w:rPr>
        <w:t>比赛基本概况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、</w:t>
      </w:r>
      <w:r>
        <w:rPr>
          <w:rFonts w:ascii="仿宋" w:hAnsi="仿宋" w:eastAsia="仿宋" w:cs="宋体"/>
          <w:bCs/>
          <w:color w:val="000000"/>
          <w:kern w:val="0"/>
          <w:szCs w:val="32"/>
          <w:lang w:val="en-US" w:eastAsia="zh-CN"/>
        </w:rPr>
        <w:t>效果与亮点、存在问题与建议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、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比赛结果、现场图片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等内容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）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和《2023年湖南信息学院课程思政教学竞赛复赛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</w:rPr>
        <w:t>推荐表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eastAsia="zh-CN"/>
        </w:rPr>
        <w:t>》（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附件2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eastAsia="zh-CN"/>
        </w:rPr>
        <w:t>）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宋体"/>
          <w:bCs/>
          <w:color w:val="000000"/>
          <w:kern w:val="0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2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.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推荐参加校级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复赛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的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教师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应提交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课堂教学设计作品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eastAsia="zh-CN"/>
        </w:rPr>
        <w:t>，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具体包括：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Cs/>
          <w:color w:val="000000"/>
          <w:kern w:val="0"/>
          <w:szCs w:val="32"/>
        </w:rPr>
      </w:pPr>
      <w:r>
        <w:rPr>
          <w:rFonts w:ascii="仿宋" w:hAnsi="仿宋" w:eastAsia="仿宋" w:cs="宋体"/>
          <w:bCs/>
          <w:color w:val="000000"/>
          <w:kern w:val="0"/>
          <w:szCs w:val="32"/>
        </w:rPr>
        <w:t>（1）参赛教师课堂教学设计（本表统一格式，见附件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3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，文科类、理工类用中文填写，外语类用英文填写，字数不限）。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Cs/>
          <w:color w:val="000000"/>
          <w:kern w:val="0"/>
          <w:szCs w:val="32"/>
        </w:rPr>
      </w:pPr>
      <w:r>
        <w:rPr>
          <w:rFonts w:ascii="仿宋" w:hAnsi="仿宋" w:eastAsia="仿宋" w:cs="宋体"/>
          <w:bCs/>
          <w:color w:val="000000"/>
          <w:kern w:val="0"/>
          <w:szCs w:val="32"/>
        </w:rPr>
        <w:t>（2）课堂教学方案阐述（</w:t>
      </w:r>
      <w:r>
        <w:rPr>
          <w:rFonts w:ascii="仿宋" w:hAnsi="仿宋" w:eastAsia="仿宋" w:cs="宋体"/>
          <w:bCs/>
          <w:color w:val="000000"/>
          <w:kern w:val="0"/>
          <w:szCs w:val="32"/>
          <w:lang w:val="en-US" w:eastAsia="zh-CN"/>
        </w:rPr>
        <w:t>须为</w:t>
      </w:r>
      <w:r>
        <w:rPr>
          <w:rFonts w:hint="default" w:ascii="仿宋" w:hAnsi="仿宋" w:eastAsia="仿宋" w:cs="宋体"/>
          <w:bCs/>
          <w:color w:val="000000"/>
          <w:kern w:val="0"/>
          <w:szCs w:val="32"/>
          <w:lang w:val="en-US" w:eastAsia="zh-CN"/>
        </w:rPr>
        <w:t>PDF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文件，用中文书写。具体格式不做要求，但应该包括教学设计的主要思路、教学实施过程说明、教学反思和方案的主要创新点等，字数不超过</w:t>
      </w:r>
      <w:r>
        <w:rPr>
          <w:rFonts w:hint="default" w:ascii="仿宋" w:hAnsi="仿宋" w:eastAsia="仿宋" w:cs="宋体"/>
          <w:bCs/>
          <w:color w:val="000000"/>
          <w:kern w:val="0"/>
          <w:szCs w:val="32"/>
          <w:lang w:val="en-US" w:eastAsia="zh-CN"/>
        </w:rPr>
        <w:t>6000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字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Cs/>
          <w:color w:val="000000"/>
          <w:kern w:val="0"/>
          <w:szCs w:val="32"/>
        </w:rPr>
      </w:pPr>
      <w:r>
        <w:rPr>
          <w:rFonts w:ascii="仿宋" w:hAnsi="仿宋" w:eastAsia="仿宋" w:cs="宋体"/>
          <w:bCs/>
          <w:color w:val="000000"/>
          <w:kern w:val="0"/>
          <w:szCs w:val="32"/>
        </w:rPr>
        <w:t>（3）教学资源（在教学过程中使用的各种辅助材料，可以是音视频文件、PPT或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PDF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文件等，可在方案阐述中进行说明）。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宋体"/>
          <w:b/>
          <w:bCs w:val="0"/>
          <w:color w:val="000000"/>
          <w:kern w:val="0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color w:val="000000"/>
          <w:kern w:val="0"/>
          <w:szCs w:val="32"/>
          <w:lang w:val="en-US" w:eastAsia="zh-CN"/>
        </w:rPr>
        <w:t>二、现场</w:t>
      </w:r>
      <w:r>
        <w:rPr>
          <w:rFonts w:ascii="仿宋" w:hAnsi="仿宋" w:eastAsia="仿宋" w:cs="宋体"/>
          <w:b/>
          <w:bCs w:val="0"/>
          <w:color w:val="000000"/>
          <w:kern w:val="0"/>
          <w:szCs w:val="32"/>
        </w:rPr>
        <w:t>决赛</w:t>
      </w:r>
      <w:r>
        <w:rPr>
          <w:rFonts w:hint="eastAsia" w:ascii="仿宋" w:hAnsi="仿宋" w:eastAsia="仿宋" w:cs="宋体"/>
          <w:b/>
          <w:bCs w:val="0"/>
          <w:color w:val="000000"/>
          <w:kern w:val="0"/>
          <w:szCs w:val="32"/>
          <w:lang w:val="en-US" w:eastAsia="zh-CN"/>
        </w:rPr>
        <w:t>要求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bCs/>
          <w:color w:val="000000"/>
          <w:kern w:val="0"/>
          <w:szCs w:val="32"/>
          <w:lang w:eastAsia="zh-CN"/>
        </w:rPr>
      </w:pPr>
      <w:r>
        <w:rPr>
          <w:rFonts w:ascii="仿宋" w:hAnsi="仿宋" w:eastAsia="仿宋" w:cs="宋体"/>
          <w:bCs/>
          <w:color w:val="000000"/>
          <w:kern w:val="0"/>
          <w:szCs w:val="32"/>
        </w:rPr>
        <w:t>由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进入现场决赛的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教师自行提交所授课程的课程思政说课PPT（整门课）1份和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3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节课的课程思政教学设计材料（教学设计文字说明和课堂教学展示PPT各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3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份，并分别按1-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3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编号），每节课的课程思政教学设计材料需精选教学内容进行优化设计，突出教学重点、强化课程思政特色。现场比赛时长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15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分钟，其中10分钟说课，阐述本门课程课程思政教学设计思路及内容；5分钟课堂教学展示（根据参赛教师提交的教学设计材料现场随机抽取一节课进行）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Cs/>
          <w:color w:val="000000"/>
          <w:kern w:val="0"/>
          <w:szCs w:val="32"/>
        </w:rPr>
      </w:pPr>
      <w:r>
        <w:rPr>
          <w:rFonts w:ascii="仿宋" w:hAnsi="仿宋" w:eastAsia="仿宋" w:cs="宋体"/>
          <w:bCs/>
          <w:color w:val="000000"/>
          <w:kern w:val="0"/>
          <w:szCs w:val="32"/>
        </w:rPr>
        <w:t>决赛暂定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5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月</w:t>
      </w:r>
      <w:r>
        <w:rPr>
          <w:rFonts w:hint="eastAsia" w:ascii="仿宋" w:hAnsi="仿宋" w:eastAsia="仿宋" w:cs="宋体"/>
          <w:bCs/>
          <w:color w:val="000000"/>
          <w:kern w:val="0"/>
          <w:szCs w:val="32"/>
          <w:lang w:val="en-US" w:eastAsia="zh-CN"/>
        </w:rPr>
        <w:t>中旬</w:t>
      </w:r>
      <w:r>
        <w:rPr>
          <w:rFonts w:ascii="仿宋" w:hAnsi="仿宋" w:eastAsia="仿宋" w:cs="宋体"/>
          <w:bCs/>
          <w:color w:val="000000"/>
          <w:kern w:val="0"/>
          <w:szCs w:val="32"/>
        </w:rPr>
        <w:t>举行，具体安排等事项另行通知。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仿宋" w:hAnsi="仿宋" w:eastAsia="仿宋" w:cs="仿宋_GB2312"/>
          <w:b/>
          <w:bCs/>
          <w:color w:val="000000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000000"/>
          <w:szCs w:val="32"/>
          <w:lang w:val="en-US" w:eastAsia="zh-CN"/>
        </w:rPr>
        <w:t>最终成绩构成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_GB2312"/>
          <w:color w:val="000000"/>
          <w:szCs w:val="32"/>
        </w:rPr>
      </w:pPr>
      <w:r>
        <w:rPr>
          <w:rFonts w:hint="eastAsia" w:ascii="仿宋" w:hAnsi="仿宋" w:eastAsia="仿宋" w:cs="仿宋_GB2312"/>
          <w:color w:val="000000"/>
          <w:szCs w:val="32"/>
        </w:rPr>
        <w:t>选手比赛最终成绩按复赛成绩（占40%）+现场决赛成绩（占60%）计算。</w:t>
      </w:r>
    </w:p>
    <w:p>
      <w:pPr>
        <w:pStyle w:val="2"/>
        <w:spacing w:before="5" w:line="350" w:lineRule="auto"/>
        <w:ind w:left="135" w:right="357" w:firstLine="640"/>
        <w:jc w:val="both"/>
        <w:rPr>
          <w:rFonts w:hint="default" w:ascii="仿宋" w:hAnsi="仿宋" w:eastAsia="仿宋" w:cs="仿宋_GB2312"/>
          <w:b/>
          <w:bCs/>
          <w:color w:val="000000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000000"/>
          <w:szCs w:val="32"/>
          <w:lang w:val="en-US" w:eastAsia="zh-CN"/>
        </w:rPr>
        <w:t>四、评分标准</w:t>
      </w:r>
    </w:p>
    <w:p>
      <w:pPr>
        <w:pStyle w:val="2"/>
        <w:spacing w:after="29"/>
        <w:ind w:left="776"/>
        <w:rPr>
          <w:rFonts w:hint="eastAsia" w:ascii="楷体" w:eastAsia="楷体"/>
        </w:rPr>
      </w:pPr>
      <w:r>
        <w:rPr>
          <w:rFonts w:hint="eastAsia" w:ascii="仿宋" w:hAnsi="仿宋" w:eastAsia="仿宋" w:cs="仿宋"/>
        </w:rPr>
        <w:t>（一）复赛评分标准（100分）</w:t>
      </w:r>
    </w:p>
    <w:tbl>
      <w:tblPr>
        <w:tblStyle w:val="4"/>
        <w:tblW w:w="9003" w:type="dxa"/>
        <w:tblInd w:w="1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7050"/>
        <w:gridCol w:w="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Header/>
        </w:trPr>
        <w:tc>
          <w:tcPr>
            <w:tcW w:w="1117" w:type="dxa"/>
            <w:vAlign w:val="center"/>
          </w:tcPr>
          <w:p>
            <w:pPr>
              <w:pStyle w:val="7"/>
              <w:spacing w:before="15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评价指标</w:t>
            </w:r>
          </w:p>
        </w:tc>
        <w:tc>
          <w:tcPr>
            <w:tcW w:w="7050" w:type="dxa"/>
            <w:vAlign w:val="center"/>
          </w:tcPr>
          <w:p>
            <w:pPr>
              <w:pStyle w:val="7"/>
              <w:spacing w:before="15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具体内容</w:t>
            </w:r>
          </w:p>
        </w:tc>
        <w:tc>
          <w:tcPr>
            <w:tcW w:w="836" w:type="dxa"/>
            <w:vAlign w:val="center"/>
          </w:tcPr>
          <w:p>
            <w:pPr>
              <w:pStyle w:val="7"/>
              <w:spacing w:before="15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1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教学内容</w:t>
            </w:r>
          </w:p>
        </w:tc>
        <w:tc>
          <w:tcPr>
            <w:tcW w:w="7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7"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信息量充足，符合学生认知规律，具有较好的“高阶性”、“创新性”和一定的“挑战度”。运用思想政治理论教育的原则、方法处理教材，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潜移默化地对学生的思想意识、行为举止产生积极影响，实现价值塑造、知识传授和能力培养相融合、教书与育人相统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36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117" w:type="dxa"/>
            <w:vAlign w:val="center"/>
          </w:tcPr>
          <w:p>
            <w:pPr>
              <w:pStyle w:val="7"/>
              <w:spacing w:before="71" w:line="400" w:lineRule="atLeast"/>
              <w:ind w:righ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教学方法与手段</w:t>
            </w:r>
          </w:p>
        </w:tc>
        <w:tc>
          <w:tcPr>
            <w:tcW w:w="7050" w:type="dxa"/>
            <w:vAlign w:val="center"/>
          </w:tcPr>
          <w:p>
            <w:pPr>
              <w:pStyle w:val="7"/>
              <w:spacing w:before="71" w:line="400" w:lineRule="atLeast"/>
              <w:ind w:left="107" w:right="96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讲授、讨论、探究、项目、案例、实验等教学方法恰当使用， 多媒体、虚拟仿真、计算机网络等教学手段有效运用。</w:t>
            </w:r>
          </w:p>
        </w:tc>
        <w:tc>
          <w:tcPr>
            <w:tcW w:w="836" w:type="dxa"/>
            <w:vAlign w:val="center"/>
          </w:tcPr>
          <w:p>
            <w:pPr>
              <w:pStyle w:val="7"/>
              <w:spacing w:before="1"/>
              <w:ind w:left="89" w:right="8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11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教学目标</w:t>
            </w:r>
          </w:p>
        </w:tc>
        <w:tc>
          <w:tcPr>
            <w:tcW w:w="7050" w:type="dxa"/>
            <w:vAlign w:val="center"/>
          </w:tcPr>
          <w:p>
            <w:pPr>
              <w:pStyle w:val="7"/>
              <w:spacing w:before="17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目标设计恰当，符合课程要求、学科特点和学生实际；  目标明 确具体、可观察、可测评、可达成；思政目标与知识、能力目标相衔接。</w:t>
            </w:r>
          </w:p>
        </w:tc>
        <w:tc>
          <w:tcPr>
            <w:tcW w:w="836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1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教学评价</w:t>
            </w:r>
          </w:p>
        </w:tc>
        <w:tc>
          <w:tcPr>
            <w:tcW w:w="7050" w:type="dxa"/>
            <w:vAlign w:val="center"/>
          </w:tcPr>
          <w:p>
            <w:pPr>
              <w:pStyle w:val="7"/>
              <w:spacing w:before="17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恰当运用过程、提问、课堂观察、作业、问卷、访谈等多元评</w:t>
            </w:r>
          </w:p>
          <w:p>
            <w:pPr>
              <w:pStyle w:val="7"/>
              <w:spacing w:before="17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价方法，激励学生学习，考察教学成效。</w:t>
            </w:r>
          </w:p>
        </w:tc>
        <w:tc>
          <w:tcPr>
            <w:tcW w:w="836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11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教学反思</w:t>
            </w:r>
          </w:p>
        </w:tc>
        <w:tc>
          <w:tcPr>
            <w:tcW w:w="7050" w:type="dxa"/>
            <w:vAlign w:val="center"/>
          </w:tcPr>
          <w:p>
            <w:pPr>
              <w:pStyle w:val="7"/>
              <w:spacing w:before="17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能够对教学内容 (包含课程思政内容) 和过程进行梳理和反思， 提出改进意见，适时调整。</w:t>
            </w:r>
          </w:p>
        </w:tc>
        <w:tc>
          <w:tcPr>
            <w:tcW w:w="836" w:type="dxa"/>
            <w:vAlign w:val="center"/>
          </w:tcPr>
          <w:p>
            <w:pPr>
              <w:pStyle w:val="7"/>
              <w:ind w:left="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1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教材分析</w:t>
            </w:r>
          </w:p>
        </w:tc>
        <w:tc>
          <w:tcPr>
            <w:tcW w:w="7050" w:type="dxa"/>
            <w:vAlign w:val="center"/>
          </w:tcPr>
          <w:p>
            <w:pPr>
              <w:pStyle w:val="7"/>
              <w:spacing w:before="17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对本设计涉及到的教材内容及其作用作简明扼要的分析，为教 学思路、重难点等内容的确定提供依据。</w:t>
            </w:r>
          </w:p>
        </w:tc>
        <w:tc>
          <w:tcPr>
            <w:tcW w:w="836" w:type="dxa"/>
            <w:vAlign w:val="center"/>
          </w:tcPr>
          <w:p>
            <w:pPr>
              <w:pStyle w:val="7"/>
              <w:spacing w:before="1"/>
              <w:ind w:left="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11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学情分析</w:t>
            </w:r>
          </w:p>
        </w:tc>
        <w:tc>
          <w:tcPr>
            <w:tcW w:w="7050" w:type="dxa"/>
            <w:vAlign w:val="top"/>
          </w:tcPr>
          <w:p>
            <w:pPr>
              <w:spacing w:before="198" w:line="401" w:lineRule="exact"/>
              <w:ind w:left="1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7"/>
                <w:position w:val="12"/>
                <w:sz w:val="24"/>
                <w:szCs w:val="24"/>
              </w:rPr>
              <w:t>对</w:t>
            </w:r>
            <w:r>
              <w:rPr>
                <w:rFonts w:hint="eastAsia" w:ascii="宋体" w:hAnsi="宋体" w:eastAsia="宋体" w:cs="宋体"/>
                <w:spacing w:val="9"/>
                <w:position w:val="12"/>
                <w:sz w:val="24"/>
                <w:szCs w:val="24"/>
              </w:rPr>
              <w:t>学生学科知识、认知特征和情感态度等内容进行精准分析，</w:t>
            </w:r>
          </w:p>
          <w:p>
            <w:pPr>
              <w:spacing w:line="228" w:lineRule="auto"/>
              <w:ind w:left="116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坚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持问题导向，突出业务教学和思想政治教育的针对性。</w:t>
            </w:r>
          </w:p>
        </w:tc>
        <w:tc>
          <w:tcPr>
            <w:tcW w:w="836" w:type="dxa"/>
            <w:vAlign w:val="center"/>
          </w:tcPr>
          <w:p>
            <w:pPr>
              <w:pStyle w:val="7"/>
              <w:spacing w:before="1"/>
              <w:ind w:left="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11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自主学习</w:t>
            </w:r>
          </w:p>
        </w:tc>
        <w:tc>
          <w:tcPr>
            <w:tcW w:w="7050" w:type="dxa"/>
            <w:vAlign w:val="top"/>
          </w:tcPr>
          <w:p>
            <w:pPr>
              <w:spacing w:before="312" w:line="229" w:lineRule="auto"/>
              <w:ind w:left="115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为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生搭建课外学习平台，引导学生进行自主学习和自主评价。</w:t>
            </w:r>
          </w:p>
        </w:tc>
        <w:tc>
          <w:tcPr>
            <w:tcW w:w="836" w:type="dxa"/>
            <w:vAlign w:val="center"/>
          </w:tcPr>
          <w:p>
            <w:pPr>
              <w:pStyle w:val="7"/>
              <w:ind w:left="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117" w:type="dxa"/>
            <w:vAlign w:val="center"/>
          </w:tcPr>
          <w:p>
            <w:pPr>
              <w:pStyle w:val="7"/>
              <w:spacing w:before="17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教学资源</w:t>
            </w:r>
          </w:p>
        </w:tc>
        <w:tc>
          <w:tcPr>
            <w:tcW w:w="7050" w:type="dxa"/>
            <w:vAlign w:val="top"/>
          </w:tcPr>
          <w:p>
            <w:pPr>
              <w:spacing w:before="201" w:line="401" w:lineRule="exact"/>
              <w:ind w:left="1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position w:val="12"/>
                <w:sz w:val="24"/>
                <w:szCs w:val="24"/>
              </w:rPr>
              <w:t>教学资</w:t>
            </w:r>
            <w:r>
              <w:rPr>
                <w:rFonts w:hint="eastAsia" w:ascii="宋体" w:hAnsi="宋体" w:eastAsia="宋体" w:cs="宋体"/>
                <w:spacing w:val="8"/>
                <w:position w:val="12"/>
                <w:sz w:val="24"/>
                <w:szCs w:val="24"/>
              </w:rPr>
              <w:t>源</w:t>
            </w:r>
            <w:r>
              <w:rPr>
                <w:rFonts w:hint="eastAsia" w:ascii="宋体" w:hAnsi="宋体" w:eastAsia="宋体" w:cs="宋体"/>
                <w:spacing w:val="5"/>
                <w:position w:val="12"/>
                <w:sz w:val="24"/>
                <w:szCs w:val="24"/>
              </w:rPr>
              <w:t>推介面广、材料丰富。能有效挖掘课程和教学方式所蕴</w:t>
            </w:r>
          </w:p>
          <w:p>
            <w:pPr>
              <w:spacing w:line="228" w:lineRule="auto"/>
              <w:ind w:left="112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含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的思想政治教育资源。</w:t>
            </w:r>
          </w:p>
        </w:tc>
        <w:tc>
          <w:tcPr>
            <w:tcW w:w="836" w:type="dxa"/>
            <w:vAlign w:val="center"/>
          </w:tcPr>
          <w:p>
            <w:pPr>
              <w:pStyle w:val="7"/>
              <w:ind w:left="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</w:tr>
    </w:tbl>
    <w:p>
      <w:pPr>
        <w:pStyle w:val="2"/>
        <w:spacing w:after="29"/>
        <w:ind w:left="776"/>
        <w:rPr>
          <w:rFonts w:hint="eastAsia" w:ascii="宋体" w:hAnsi="宋体" w:eastAsia="宋体" w:cs="宋体"/>
        </w:rPr>
      </w:pPr>
      <w:r>
        <w:rPr>
          <w:rFonts w:hint="eastAsia" w:ascii="仿宋" w:hAnsi="仿宋" w:eastAsia="仿宋" w:cs="仿宋"/>
        </w:rPr>
        <w:t>（二）现场决赛评分标准</w:t>
      </w:r>
      <w:r>
        <w:rPr>
          <w:rFonts w:hint="eastAsia" w:ascii="宋体" w:hAnsi="宋体" w:eastAsia="宋体" w:cs="宋体"/>
        </w:rPr>
        <w:t>（100分）</w:t>
      </w:r>
    </w:p>
    <w:tbl>
      <w:tblPr>
        <w:tblStyle w:val="4"/>
        <w:tblW w:w="8869" w:type="dxa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6693"/>
        <w:gridCol w:w="9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Header/>
        </w:trPr>
        <w:tc>
          <w:tcPr>
            <w:tcW w:w="1180" w:type="dxa"/>
            <w:vAlign w:val="center"/>
          </w:tcPr>
          <w:p>
            <w:pPr>
              <w:pStyle w:val="7"/>
              <w:spacing w:before="15"/>
              <w:ind w:left="108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评价指标</w:t>
            </w:r>
          </w:p>
        </w:tc>
        <w:tc>
          <w:tcPr>
            <w:tcW w:w="6693" w:type="dxa"/>
            <w:vAlign w:val="center"/>
          </w:tcPr>
          <w:p>
            <w:pPr>
              <w:pStyle w:val="7"/>
              <w:spacing w:before="15"/>
              <w:ind w:left="108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具体内容</w:t>
            </w:r>
          </w:p>
        </w:tc>
        <w:tc>
          <w:tcPr>
            <w:tcW w:w="996" w:type="dxa"/>
            <w:vAlign w:val="center"/>
          </w:tcPr>
          <w:p>
            <w:pPr>
              <w:pStyle w:val="7"/>
              <w:spacing w:before="15"/>
              <w:ind w:left="108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180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教学实施</w:t>
            </w:r>
          </w:p>
        </w:tc>
        <w:tc>
          <w:tcPr>
            <w:tcW w:w="6693" w:type="dxa"/>
            <w:vAlign w:val="top"/>
          </w:tcPr>
          <w:p>
            <w:pPr>
              <w:spacing w:before="207" w:line="264" w:lineRule="auto"/>
              <w:ind w:left="111" w:leftChars="0" w:right="104" w:rightChars="0" w:firstLine="2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善于提炼课程蕴含的育人因素，将思想政治教育和专业知识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授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相融合，教学内容呈现恰当，教学活动组织合理。</w:t>
            </w:r>
          </w:p>
        </w:tc>
        <w:tc>
          <w:tcPr>
            <w:tcW w:w="996" w:type="dxa"/>
            <w:vAlign w:val="center"/>
          </w:tcPr>
          <w:p>
            <w:pPr>
              <w:spacing w:before="66" w:line="194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1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6693" w:type="dxa"/>
            <w:vAlign w:val="top"/>
          </w:tcPr>
          <w:p>
            <w:pPr>
              <w:spacing w:before="206" w:line="265" w:lineRule="auto"/>
              <w:ind w:left="113" w:leftChars="0" w:right="104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善于综合运用现代信息技术手段和数字资源，把思想政治教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有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效融入教学过程，教学方法运用恰当，教学策略使用有效。</w:t>
            </w:r>
          </w:p>
        </w:tc>
        <w:tc>
          <w:tcPr>
            <w:tcW w:w="996" w:type="dxa"/>
            <w:vAlign w:val="center"/>
          </w:tcPr>
          <w:p>
            <w:pPr>
              <w:spacing w:before="66" w:line="194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hint="eastAsia" w:ascii="宋体" w:hAnsi="宋体" w:eastAsia="宋体" w:cs="宋体"/>
                <w:spacing w:val="-9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1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6693" w:type="dxa"/>
            <w:vAlign w:val="top"/>
          </w:tcPr>
          <w:p>
            <w:pPr>
              <w:spacing w:before="144" w:line="265" w:lineRule="auto"/>
              <w:ind w:left="114" w:leftChars="0" w:right="104" w:rightChars="0" w:hanging="2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注重教学互动，突出学生主体地位，调动学生参与课堂教学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极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性。</w:t>
            </w:r>
          </w:p>
        </w:tc>
        <w:tc>
          <w:tcPr>
            <w:tcW w:w="996" w:type="dxa"/>
            <w:vAlign w:val="center"/>
          </w:tcPr>
          <w:p>
            <w:pPr>
              <w:spacing w:before="66" w:line="194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hint="eastAsia" w:ascii="宋体" w:hAnsi="宋体" w:eastAsia="宋体" w:cs="宋体"/>
                <w:spacing w:val="-9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180" w:type="dxa"/>
            <w:vMerge w:val="restart"/>
            <w:vAlign w:val="center"/>
          </w:tcPr>
          <w:p>
            <w:pPr>
              <w:pStyle w:val="7"/>
              <w:spacing w:before="176"/>
              <w:jc w:val="center"/>
              <w:rPr>
                <w:sz w:val="24"/>
              </w:rPr>
            </w:pPr>
            <w:r>
              <w:rPr>
                <w:sz w:val="24"/>
              </w:rPr>
              <w:t>教学效果</w:t>
            </w:r>
          </w:p>
        </w:tc>
        <w:tc>
          <w:tcPr>
            <w:tcW w:w="6693" w:type="dxa"/>
            <w:vAlign w:val="top"/>
          </w:tcPr>
          <w:p>
            <w:pPr>
              <w:spacing w:before="247" w:line="227" w:lineRule="auto"/>
              <w:ind w:left="112" w:leftChars="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注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重价值引领，有效达成教学目标，效果明显。</w:t>
            </w:r>
          </w:p>
        </w:tc>
        <w:tc>
          <w:tcPr>
            <w:tcW w:w="996" w:type="dxa"/>
            <w:vAlign w:val="center"/>
          </w:tcPr>
          <w:p>
            <w:pPr>
              <w:spacing w:before="290" w:line="194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93" w:type="dxa"/>
            <w:vAlign w:val="top"/>
          </w:tcPr>
          <w:p>
            <w:pPr>
              <w:spacing w:before="226" w:line="228" w:lineRule="auto"/>
              <w:ind w:left="111" w:leftChars="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课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堂教学在同类课程中特色鲜明，具有较强的示范性。</w:t>
            </w:r>
          </w:p>
        </w:tc>
        <w:tc>
          <w:tcPr>
            <w:tcW w:w="996" w:type="dxa"/>
            <w:vAlign w:val="center"/>
          </w:tcPr>
          <w:p>
            <w:pPr>
              <w:spacing w:before="268" w:line="194" w:lineRule="auto"/>
              <w:jc w:val="center"/>
              <w:rPr>
                <w:rFonts w:asci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180" w:type="dxa"/>
            <w:vAlign w:val="center"/>
          </w:tcPr>
          <w:p>
            <w:pPr>
              <w:pStyle w:val="7"/>
              <w:spacing w:before="159" w:line="242" w:lineRule="auto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教师素养与创新特色</w:t>
            </w:r>
          </w:p>
        </w:tc>
        <w:tc>
          <w:tcPr>
            <w:tcW w:w="6693" w:type="dxa"/>
            <w:vAlign w:val="top"/>
          </w:tcPr>
          <w:p>
            <w:pPr>
              <w:spacing w:before="209" w:line="265" w:lineRule="auto"/>
              <w:ind w:left="113" w:leftChars="0" w:right="104" w:rightChars="0" w:firstLine="3" w:firstLineChars="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具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有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良好的专业素养、科学精神、人文情怀；教态大方，举止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得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体，精神饱满，综合素质高；个人教学特色突出。</w:t>
            </w:r>
          </w:p>
        </w:tc>
        <w:tc>
          <w:tcPr>
            <w:tcW w:w="996" w:type="dxa"/>
            <w:vAlign w:val="center"/>
          </w:tcPr>
          <w:p>
            <w:pPr>
              <w:spacing w:before="66" w:line="194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180" w:type="dxa"/>
            <w:vAlign w:val="center"/>
          </w:tcPr>
          <w:p>
            <w:pPr>
              <w:pStyle w:val="7"/>
              <w:spacing w:before="161"/>
              <w:jc w:val="center"/>
              <w:rPr>
                <w:sz w:val="24"/>
              </w:rPr>
            </w:pPr>
            <w:r>
              <w:rPr>
                <w:sz w:val="24"/>
              </w:rPr>
              <w:t>现场提问</w:t>
            </w:r>
          </w:p>
        </w:tc>
        <w:tc>
          <w:tcPr>
            <w:tcW w:w="6693" w:type="dxa"/>
            <w:vAlign w:val="top"/>
          </w:tcPr>
          <w:p>
            <w:pPr>
              <w:spacing w:before="209" w:line="264" w:lineRule="auto"/>
              <w:ind w:left="111" w:leftChars="0" w:right="104" w:rightChars="0" w:firstLine="24" w:firstLineChars="0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回答评委问题条理清晰，抓住要点，观点正确，理由充分，见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解独到，针对性强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。</w:t>
            </w:r>
          </w:p>
        </w:tc>
        <w:tc>
          <w:tcPr>
            <w:tcW w:w="996" w:type="dxa"/>
            <w:vAlign w:val="center"/>
          </w:tcPr>
          <w:p>
            <w:pPr>
              <w:spacing w:before="66" w:line="194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0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416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7033D"/>
    <w:multiLevelType w:val="singleLevel"/>
    <w:tmpl w:val="5037033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MWZmMzliYzIwNjg1NmE0MzA4M2E1NTIzMDFiMzkifQ=="/>
  </w:docVars>
  <w:rsids>
    <w:rsidRoot w:val="00000000"/>
    <w:rsid w:val="048F42EE"/>
    <w:rsid w:val="052C782B"/>
    <w:rsid w:val="081E6051"/>
    <w:rsid w:val="0898267C"/>
    <w:rsid w:val="0E1F17C1"/>
    <w:rsid w:val="0EC107E0"/>
    <w:rsid w:val="153674A4"/>
    <w:rsid w:val="1B126F5D"/>
    <w:rsid w:val="1BBE7284"/>
    <w:rsid w:val="1D006A40"/>
    <w:rsid w:val="1EB202A6"/>
    <w:rsid w:val="28DB4DA2"/>
    <w:rsid w:val="29FB5B9F"/>
    <w:rsid w:val="2A7475FA"/>
    <w:rsid w:val="2EBC0FFC"/>
    <w:rsid w:val="33950043"/>
    <w:rsid w:val="36140CE4"/>
    <w:rsid w:val="3AFF066F"/>
    <w:rsid w:val="3C3C0578"/>
    <w:rsid w:val="3F5B72F6"/>
    <w:rsid w:val="3FDB4866"/>
    <w:rsid w:val="4185798B"/>
    <w:rsid w:val="41F77652"/>
    <w:rsid w:val="433F02A4"/>
    <w:rsid w:val="46E97F6B"/>
    <w:rsid w:val="48515C96"/>
    <w:rsid w:val="49647D7D"/>
    <w:rsid w:val="4D487F82"/>
    <w:rsid w:val="51CE66DB"/>
    <w:rsid w:val="53654E1D"/>
    <w:rsid w:val="538C01A9"/>
    <w:rsid w:val="5581130E"/>
    <w:rsid w:val="5C8A54F9"/>
    <w:rsid w:val="5E4D0A45"/>
    <w:rsid w:val="5EF50565"/>
    <w:rsid w:val="604007A4"/>
    <w:rsid w:val="60E530F9"/>
    <w:rsid w:val="6D6A3304"/>
    <w:rsid w:val="7250395E"/>
    <w:rsid w:val="72D012E4"/>
    <w:rsid w:val="730C2768"/>
    <w:rsid w:val="734B0C60"/>
    <w:rsid w:val="73FE18C9"/>
    <w:rsid w:val="74620891"/>
    <w:rsid w:val="781E6FB1"/>
    <w:rsid w:val="79507852"/>
    <w:rsid w:val="7CA04D91"/>
    <w:rsid w:val="7CE3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</w:pPr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1614</Words>
  <Characters>1657</Characters>
  <Lines>0</Lines>
  <Paragraphs>0</Paragraphs>
  <TotalTime>50</TotalTime>
  <ScaleCrop>false</ScaleCrop>
  <LinksUpToDate>false</LinksUpToDate>
  <CharactersWithSpaces>1670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2022-03-10T03:40:00Z</dcterms:created>
  <dc:creator>DELL</dc:creator>
  <cp:lastModifiedBy>小乌龟</cp:lastModifiedBy>
  <cp:lastPrinted>2023-03-25T01:23:00Z</cp:lastPrinted>
  <dcterms:modified xsi:type="dcterms:W3CDTF">2023-03-30T01:16:47Z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0CA1121C33EF4669A9AEAB793A094F6C</vt:lpwstr>
  </property>
</Properties>
</file>